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center"/>
        <w:textAlignment w:val="auto"/>
        <w:rPr>
          <w:rFonts w:hint="eastAsia" w:ascii="方正小标宋_GBK" w:hAnsi="方正小标宋_GBK" w:eastAsia="方正小标宋_GBK" w:cs="方正小标宋_GBK"/>
          <w:spacing w:val="-6"/>
          <w:kern w:val="36"/>
          <w:sz w:val="36"/>
          <w:szCs w:val="36"/>
        </w:rPr>
      </w:pPr>
      <w:r>
        <w:rPr>
          <w:rFonts w:hint="eastAsia" w:ascii="方正小标宋_GBK" w:hAnsi="方正小标宋_GBK" w:eastAsia="方正小标宋_GBK" w:cs="方正小标宋_GBK"/>
          <w:spacing w:val="-6"/>
          <w:kern w:val="36"/>
          <w:sz w:val="36"/>
          <w:szCs w:val="36"/>
        </w:rPr>
        <w:t>面试疫情防控告知暨承诺书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方正小标宋_GBK" w:hAnsi="方正小标宋_GBK" w:eastAsia="方正小标宋_GBK" w:cs="方正小标宋_GBK"/>
          <w:spacing w:val="-6"/>
          <w:kern w:val="36"/>
          <w:sz w:val="36"/>
          <w:szCs w:val="36"/>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为切实保障广大考生身体健康，确保本次考试安全有序进行，根据最新疫情防控政策，现将</w:t>
      </w:r>
      <w:r>
        <w:rPr>
          <w:rFonts w:hint="default" w:ascii="仿宋_GB2312" w:hAnsi="仿宋_GB2312" w:eastAsia="仿宋_GB2312" w:cs="仿宋_GB2312"/>
          <w:i w:val="0"/>
          <w:iCs w:val="0"/>
          <w:caps w:val="0"/>
          <w:color w:val="000000"/>
          <w:spacing w:val="0"/>
          <w:sz w:val="32"/>
          <w:szCs w:val="32"/>
          <w:u w:val="none"/>
          <w:shd w:val="clear" w:fill="FFFFFF"/>
        </w:rPr>
        <w:t>蜀山区2022年政府购买服务岗位招聘</w:t>
      </w:r>
      <w:r>
        <w:rPr>
          <w:rFonts w:hint="eastAsia" w:ascii="仿宋_GB2312" w:hAnsi="仿宋_GB2312" w:eastAsia="仿宋_GB2312" w:cs="仿宋_GB2312"/>
          <w:i w:val="0"/>
          <w:iCs w:val="0"/>
          <w:caps w:val="0"/>
          <w:color w:val="000000"/>
          <w:spacing w:val="0"/>
          <w:sz w:val="32"/>
          <w:szCs w:val="32"/>
          <w:u w:val="none"/>
          <w:shd w:val="clear" w:fill="FFFFFF"/>
          <w:lang w:eastAsia="zh-CN"/>
        </w:rPr>
        <w:t>面试</w:t>
      </w:r>
      <w:r>
        <w:rPr>
          <w:rFonts w:hint="eastAsia" w:ascii="仿宋_GB2312" w:hAnsi="仿宋_GB2312" w:eastAsia="仿宋_GB2312" w:cs="仿宋_GB2312"/>
          <w:i w:val="0"/>
          <w:iCs w:val="0"/>
          <w:caps w:val="0"/>
          <w:color w:val="000000"/>
          <w:spacing w:val="0"/>
          <w:sz w:val="32"/>
          <w:szCs w:val="32"/>
          <w:u w:val="none"/>
          <w:shd w:val="clear" w:fill="FFFFFF"/>
        </w:rPr>
        <w:t>疫情防控</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通知</w:t>
      </w:r>
      <w:r>
        <w:rPr>
          <w:rFonts w:hint="eastAsia" w:ascii="仿宋_GB2312" w:hAnsi="仿宋_GB2312" w:eastAsia="仿宋_GB2312" w:cs="仿宋_GB2312"/>
          <w:i w:val="0"/>
          <w:iCs w:val="0"/>
          <w:caps w:val="0"/>
          <w:color w:val="000000"/>
          <w:spacing w:val="0"/>
          <w:sz w:val="32"/>
          <w:szCs w:val="32"/>
          <w:u w:val="none"/>
          <w:shd w:val="clear" w:fill="FFFFFF"/>
        </w:rPr>
        <w:t>如下：</w:t>
      </w:r>
    </w:p>
    <w:p>
      <w:pPr>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sz w:val="32"/>
          <w:szCs w:val="32"/>
          <w:u w:val="none"/>
          <w:shd w:val="clear" w:fill="FFFFFF"/>
        </w:rPr>
        <w:t>1、</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请提前申领“安康码</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，在</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安康码</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界面下，点击</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通信大数据行程卡</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并授权核验个人行程。请务必在</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安康码</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界面下，每日通过</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点击核验</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保持绿码状态，做好体温测量和健康监测。非绿码人员需通过健康打卡、个人申诉、核酸检测等方式尽快转为绿码。建议无禁忌而尚未接种疫苗的报考者尽快完成接种。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2、</w:t>
      </w:r>
      <w:r>
        <w:rPr>
          <w:rFonts w:hint="eastAsia" w:ascii="仿宋_GB2312" w:hAnsi="宋体" w:eastAsia="仿宋_GB2312" w:cs="仿宋_GB2312"/>
          <w:i w:val="0"/>
          <w:iCs w:val="0"/>
          <w:caps w:val="0"/>
          <w:color w:val="000000"/>
          <w:spacing w:val="0"/>
          <w:sz w:val="32"/>
          <w:szCs w:val="32"/>
          <w:u w:val="none"/>
          <w:shd w:val="clear" w:fill="FFFFFF"/>
          <w:lang w:val="zh-CN" w:eastAsia="zh-CN"/>
        </w:rPr>
        <w:t>按照疫情防控有关要求，不适宜参加统一面试的考生，不予参加考试。</w:t>
      </w:r>
      <w:r>
        <w:rPr>
          <w:rFonts w:hint="eastAsia" w:ascii="仿宋_GB2312" w:hAnsi="仿宋_GB2312" w:eastAsia="仿宋_GB2312" w:cs="仿宋_GB2312"/>
          <w:i w:val="0"/>
          <w:iCs w:val="0"/>
          <w:caps w:val="0"/>
          <w:color w:val="000000"/>
          <w:spacing w:val="0"/>
          <w:sz w:val="32"/>
          <w:szCs w:val="32"/>
          <w:u w:val="none"/>
          <w:shd w:val="clear" w:fill="FFFFFF"/>
        </w:rPr>
        <w:t>考生要主动配合落实防疫要求：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（1）考前7天有疫情高风险地区旅居史的考生，需落实7天集中隔离，并提供第1、2、3、5、7天核酸检测阴性证明（管理时限自离开风险地区之日起算）方可参加考试。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（2）考前7天有疫情中风险地区旅居史的考生，需落实7天居家隔离，并提供第1、4、7天核酸检测阴性证明（管理时限自离开风险地区之日起算）方可参加考试。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（3）考前7天有高、中风险地区所在县（区）的低风险地区旅居史的考生，需提供离开疫情发生地所在县（区）后3天2次核酸检测阴性证明（2次采样至少间隔24小时）方可参加考试。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rPr>
        <w:t>3、所有考生需提供考前48小时（</w:t>
      </w:r>
      <w:r>
        <w:rPr>
          <w:rFonts w:ascii="仿宋_GB2312" w:hAnsi="宋体" w:eastAsia="仿宋_GB2312" w:cs="仿宋_GB2312"/>
          <w:i w:val="0"/>
          <w:iCs w:val="0"/>
          <w:caps w:val="0"/>
          <w:color w:val="0000FF"/>
          <w:spacing w:val="0"/>
          <w:sz w:val="32"/>
          <w:szCs w:val="32"/>
          <w:u w:val="none"/>
          <w:shd w:val="clear" w:fill="FFFFFF"/>
        </w:rPr>
        <w:t>核酸检测时间为</w:t>
      </w:r>
      <w:r>
        <w:rPr>
          <w:rFonts w:hint="eastAsia" w:ascii="仿宋_GB2312" w:hAnsi="宋体" w:eastAsia="仿宋_GB2312" w:cs="仿宋_GB2312"/>
          <w:i w:val="0"/>
          <w:iCs w:val="0"/>
          <w:caps w:val="0"/>
          <w:color w:val="0000FF"/>
          <w:spacing w:val="0"/>
          <w:sz w:val="32"/>
          <w:szCs w:val="32"/>
          <w:u w:val="none"/>
          <w:lang w:val="en-US" w:eastAsia="zh-CN"/>
        </w:rPr>
        <w:t>7</w:t>
      </w:r>
      <w:r>
        <w:rPr>
          <w:rFonts w:hint="eastAsia" w:ascii="仿宋_GB2312" w:hAnsi="宋体" w:eastAsia="仿宋_GB2312" w:cs="仿宋_GB2312"/>
          <w:i w:val="0"/>
          <w:iCs w:val="0"/>
          <w:caps w:val="0"/>
          <w:color w:val="0000FF"/>
          <w:spacing w:val="0"/>
          <w:sz w:val="32"/>
          <w:szCs w:val="32"/>
          <w:u w:val="none"/>
          <w:shd w:val="clear" w:fill="FFFFFF"/>
        </w:rPr>
        <w:t>月</w:t>
      </w:r>
      <w:r>
        <w:rPr>
          <w:rFonts w:hint="eastAsia" w:ascii="仿宋_GB2312" w:hAnsi="宋体" w:eastAsia="仿宋_GB2312" w:cs="仿宋_GB2312"/>
          <w:i w:val="0"/>
          <w:iCs w:val="0"/>
          <w:caps w:val="0"/>
          <w:color w:val="0000FF"/>
          <w:spacing w:val="0"/>
          <w:sz w:val="32"/>
          <w:szCs w:val="32"/>
          <w:u w:val="none"/>
          <w:lang w:val="en-US" w:eastAsia="zh-CN"/>
        </w:rPr>
        <w:t>8</w:t>
      </w:r>
      <w:r>
        <w:rPr>
          <w:rFonts w:hint="eastAsia" w:ascii="仿宋_GB2312" w:hAnsi="宋体" w:eastAsia="仿宋_GB2312" w:cs="仿宋_GB2312"/>
          <w:i w:val="0"/>
          <w:iCs w:val="0"/>
          <w:caps w:val="0"/>
          <w:color w:val="0000FF"/>
          <w:spacing w:val="0"/>
          <w:sz w:val="32"/>
          <w:szCs w:val="32"/>
          <w:u w:val="none"/>
          <w:shd w:val="clear" w:fill="FFFFFF"/>
        </w:rPr>
        <w:t>日上午</w:t>
      </w:r>
      <w:r>
        <w:rPr>
          <w:rFonts w:hint="eastAsia" w:ascii="仿宋_GB2312" w:hAnsi="宋体" w:eastAsia="仿宋_GB2312" w:cs="仿宋_GB2312"/>
          <w:i w:val="0"/>
          <w:iCs w:val="0"/>
          <w:caps w:val="0"/>
          <w:color w:val="0000FF"/>
          <w:spacing w:val="0"/>
          <w:sz w:val="32"/>
          <w:szCs w:val="32"/>
          <w:u w:val="none"/>
        </w:rPr>
        <w:t>8:00</w:t>
      </w:r>
      <w:r>
        <w:rPr>
          <w:rFonts w:hint="eastAsia" w:ascii="仿宋_GB2312" w:hAnsi="宋体" w:eastAsia="仿宋_GB2312" w:cs="仿宋_GB2312"/>
          <w:i w:val="0"/>
          <w:iCs w:val="0"/>
          <w:caps w:val="0"/>
          <w:color w:val="0000FF"/>
          <w:spacing w:val="0"/>
          <w:sz w:val="32"/>
          <w:szCs w:val="32"/>
          <w:u w:val="none"/>
          <w:shd w:val="clear" w:fill="FFFFFF"/>
        </w:rPr>
        <w:t>及以后</w:t>
      </w:r>
      <w:r>
        <w:rPr>
          <w:rFonts w:hint="eastAsia" w:ascii="仿宋_GB2312" w:hAnsi="仿宋_GB2312" w:eastAsia="仿宋_GB2312" w:cs="仿宋_GB2312"/>
          <w:i w:val="0"/>
          <w:iCs w:val="0"/>
          <w:caps w:val="0"/>
          <w:color w:val="000000"/>
          <w:spacing w:val="0"/>
          <w:sz w:val="32"/>
          <w:szCs w:val="32"/>
          <w:u w:val="none"/>
          <w:shd w:val="clear" w:fill="FFFFFF"/>
        </w:rPr>
        <w:t>）内核酸检测阴性证明（纸质或电子版）；对于符合本地防疫政策的省外考生，施行“两次核酸检测”的防疫举措，即持有抵肥前48小时内核酸检测阴性证明和抵肥后、考前24小时内核酸检测阴性证明。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fill="FFFFFF"/>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u w:val="none"/>
          <w:shd w:val="clear" w:fill="FFFFFF"/>
        </w:rPr>
        <w:t>、建议省外低风险地区考生在考前3天来肥，以免出现无法如期参加考试的情况；同时减少社交活动，不聚集、聚餐、聚会等，避免前往人员密集场所。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6</w:t>
      </w:r>
      <w:r>
        <w:rPr>
          <w:rFonts w:hint="eastAsia" w:ascii="仿宋_GB2312" w:hAnsi="仿宋_GB2312" w:eastAsia="仿宋_GB2312" w:cs="仿宋_GB2312"/>
          <w:i w:val="0"/>
          <w:iCs w:val="0"/>
          <w:caps w:val="0"/>
          <w:color w:val="000000"/>
          <w:spacing w:val="0"/>
          <w:sz w:val="32"/>
          <w:szCs w:val="32"/>
          <w:u w:val="none"/>
          <w:shd w:val="clear" w:fill="FFFFFF"/>
        </w:rPr>
        <w:t>、根据疫情防控要求，在考点入口处设置测温、扫码，</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考生进入考点前须进行体温检测（要求&lt;37.3℃）,同时核查健康码（要求绿码）、</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通信大数据行程卡</w:t>
      </w:r>
      <w:r>
        <w:rPr>
          <w:rFonts w:hint="default" w:ascii="仿宋_GB2312" w:hAnsi="仿宋_GB2312" w:eastAsia="仿宋_GB2312" w:cs="仿宋_GB2312"/>
          <w:i w:val="0"/>
          <w:iCs w:val="0"/>
          <w:caps w:val="0"/>
          <w:color w:val="000000"/>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（要求绿码）</w:t>
      </w:r>
      <w:r>
        <w:rPr>
          <w:rFonts w:hint="eastAsia" w:ascii="仿宋_GB2312" w:hAnsi="仿宋_GB2312" w:eastAsia="仿宋_GB2312" w:cs="仿宋_GB2312"/>
          <w:i w:val="0"/>
          <w:iCs w:val="0"/>
          <w:caps w:val="0"/>
          <w:color w:val="000000"/>
          <w:spacing w:val="0"/>
          <w:sz w:val="32"/>
          <w:szCs w:val="32"/>
          <w:u w:val="none"/>
          <w:shd w:val="clear" w:fill="FFFFFF"/>
        </w:rPr>
        <w:t>、</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有效核酸检测证明后，</w:t>
      </w:r>
      <w:r>
        <w:rPr>
          <w:rFonts w:hint="eastAsia" w:ascii="仿宋_GB2312" w:hAnsi="仿宋_GB2312" w:eastAsia="仿宋_GB2312" w:cs="仿宋_GB2312"/>
          <w:i w:val="0"/>
          <w:iCs w:val="0"/>
          <w:caps w:val="0"/>
          <w:color w:val="000000"/>
          <w:spacing w:val="0"/>
          <w:sz w:val="32"/>
          <w:szCs w:val="32"/>
          <w:u w:val="none"/>
          <w:shd w:val="clear" w:fill="FFFFFF"/>
        </w:rPr>
        <w:t>严格使用含酒精的消毒用品进行手部消毒后，方可进入考点参加考试。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7、报考者应自备一次性医用口罩，</w:t>
      </w:r>
      <w:r>
        <w:rPr>
          <w:rFonts w:hint="eastAsia" w:ascii="仿宋_GB2312" w:hAnsi="仿宋_GB2312" w:eastAsia="仿宋_GB2312" w:cs="仿宋_GB2312"/>
          <w:i w:val="0"/>
          <w:iCs w:val="0"/>
          <w:caps w:val="0"/>
          <w:color w:val="000000"/>
          <w:spacing w:val="0"/>
          <w:sz w:val="32"/>
          <w:szCs w:val="32"/>
          <w:u w:val="none"/>
          <w:shd w:val="clear" w:fill="FFFFFF"/>
        </w:rPr>
        <w:t>口罩弄湿或弄脏后，需及时更换</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。乘坐公共交通工具去往考点的，应全程佩戴口罩，进入考场前务必使用酒精消毒用品进行手部消毒。考试期间除核验信息时须配合摘下口罩以外，应全程佩戴一次性医用口罩。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8、报考者要做好每日体温测量和健康监测，持续关注健康码状态，减少非必要聚集活动。考前如出现发热、乏力、咳嗽、呼吸困难、腹泻等症状请如实报告所在地疾控部门并及时前往定点医院就诊。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u w:val="none"/>
          <w:shd w:val="clear" w:fill="FFFFFF"/>
          <w:lang w:val="en-US" w:eastAsia="zh-CN"/>
        </w:rPr>
      </w:pPr>
      <w:r>
        <w:rPr>
          <w:rFonts w:hint="eastAsia" w:ascii="仿宋_GB2312" w:hAnsi="仿宋_GB2312" w:eastAsia="仿宋_GB2312" w:cs="仿宋_GB2312"/>
          <w:i w:val="0"/>
          <w:iCs w:val="0"/>
          <w:caps w:val="0"/>
          <w:color w:val="000000"/>
          <w:spacing w:val="0"/>
          <w:sz w:val="32"/>
          <w:szCs w:val="32"/>
          <w:u w:val="none"/>
          <w:shd w:val="clear" w:fill="FFFFFF"/>
          <w:lang w:val="en-US" w:eastAsia="zh-CN"/>
        </w:rPr>
        <w:t>9、资格复审及面试期间，请报考者主动出示有关信息资料，有序接受防疫检测。自觉维护考试秩序，与他人保持1米以上安全社交距离，服从现场工作人员安排，在结束后按规定有序离场。</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40" w:lineRule="exact"/>
        <w:ind w:left="0" w:right="0" w:firstLine="56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10、</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资格复审及面试期间有身体不适症状的人员要立即向工作人员报告并服从工作人员的管理。如因出现身体不适症状，需接受健康评估、转移考试或就医的，面试时间不予补充。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11、请自觉遵守相关防疫要求和属地人员管控政策。凡隐瞒或谎报旅居史、接触史、健康状况等疫情防控重点信息，不配合工作人员进行防疫检测、询问等造成不良后果的，终止其考试并依法追究法律责任。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40" w:lineRule="exact"/>
        <w:ind w:left="0" w:right="0" w:firstLine="56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本人已认真阅读《面试</w:t>
      </w:r>
      <w:r>
        <w:rPr>
          <w:rFonts w:hint="eastAsia" w:ascii="仿宋_GB2312" w:hAnsi="仿宋_GB2312" w:eastAsia="仿宋_GB2312" w:cs="仿宋_GB2312"/>
          <w:b w:val="0"/>
          <w:bCs w:val="0"/>
          <w:i w:val="0"/>
          <w:iCs w:val="0"/>
          <w:caps w:val="0"/>
          <w:color w:val="auto"/>
          <w:spacing w:val="0"/>
          <w:kern w:val="0"/>
          <w:sz w:val="32"/>
          <w:szCs w:val="32"/>
          <w:shd w:val="clear" w:fill="FFFFFF"/>
          <w:lang w:val="zh-CN" w:eastAsia="zh-CN" w:bidi="ar"/>
        </w:rPr>
        <w:t>疫情防控</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告知暨承诺书》，知悉告知事项、证明义务和防疫要求。在此郑重承诺：本人填报、提交和现场出示的所有信息（证明）均真实、准确、完整、有效，符合疫情防控相关要求，并愿意配合考试现场疫情防控有关工作安排。如有违反或有不实承诺，自愿承担相应责任、接受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b/>
          <w:bCs/>
          <w:i w:val="0"/>
          <w:iCs w:val="0"/>
          <w:caps w:val="0"/>
          <w:color w:val="000000"/>
          <w:spacing w:val="0"/>
          <w:sz w:val="32"/>
          <w:szCs w:val="32"/>
          <w:u w:val="none"/>
          <w:shd w:val="clear" w:fill="FFFFFF"/>
        </w:rPr>
      </w:pPr>
      <w:r>
        <w:rPr>
          <w:rFonts w:hint="eastAsia" w:ascii="仿宋_GB2312" w:hAnsi="仿宋_GB2312" w:eastAsia="仿宋_GB2312" w:cs="仿宋_GB2312"/>
          <w:b w:val="0"/>
          <w:bCs w:val="0"/>
          <w:i w:val="0"/>
          <w:iCs w:val="0"/>
          <w:caps w:val="0"/>
          <w:color w:val="000000"/>
          <w:spacing w:val="0"/>
          <w:sz w:val="32"/>
          <w:szCs w:val="32"/>
          <w:u w:val="none"/>
          <w:shd w:val="clear" w:fill="FFFFFF"/>
        </w:rPr>
        <w:t>考生</w:t>
      </w:r>
      <w:r>
        <w:rPr>
          <w:rFonts w:hint="eastAsia" w:ascii="仿宋_GB2312" w:hAnsi="仿宋_GB2312" w:eastAsia="仿宋_GB2312" w:cs="仿宋_GB2312"/>
          <w:b w:val="0"/>
          <w:bCs w:val="0"/>
          <w:i w:val="0"/>
          <w:iCs w:val="0"/>
          <w:caps w:val="0"/>
          <w:color w:val="000000"/>
          <w:spacing w:val="0"/>
          <w:sz w:val="32"/>
          <w:szCs w:val="32"/>
          <w:u w:val="none"/>
          <w:shd w:val="clear" w:fill="FFFFFF"/>
          <w:lang w:val="en-US" w:eastAsia="zh-CN"/>
        </w:rPr>
        <w:t>参加资格复审</w:t>
      </w:r>
      <w:r>
        <w:rPr>
          <w:rFonts w:hint="eastAsia" w:ascii="仿宋_GB2312" w:hAnsi="仿宋_GB2312" w:eastAsia="仿宋_GB2312" w:cs="仿宋_GB2312"/>
          <w:b w:val="0"/>
          <w:bCs w:val="0"/>
          <w:i w:val="0"/>
          <w:iCs w:val="0"/>
          <w:caps w:val="0"/>
          <w:color w:val="000000"/>
          <w:spacing w:val="0"/>
          <w:sz w:val="32"/>
          <w:szCs w:val="32"/>
          <w:u w:val="none"/>
          <w:shd w:val="clear" w:fill="FFFFFF"/>
        </w:rPr>
        <w:t>前应仔细阅读此告知书</w:t>
      </w:r>
      <w:r>
        <w:rPr>
          <w:rFonts w:hint="eastAsia" w:ascii="仿宋_GB2312" w:hAnsi="仿宋_GB2312" w:eastAsia="仿宋_GB2312" w:cs="仿宋_GB2312"/>
          <w:b/>
          <w:bCs/>
          <w:i w:val="0"/>
          <w:iCs w:val="0"/>
          <w:caps w:val="0"/>
          <w:color w:val="000000"/>
          <w:spacing w:val="0"/>
          <w:sz w:val="32"/>
          <w:szCs w:val="32"/>
          <w:u w:val="none"/>
          <w:shd w:val="clear" w:fill="FFFFFF"/>
        </w:rPr>
        <w:t>，</w:t>
      </w:r>
      <w:r>
        <w:rPr>
          <w:rFonts w:hint="eastAsia" w:ascii="仿宋_GB2312" w:hAnsi="仿宋_GB2312" w:eastAsia="仿宋_GB2312" w:cs="仿宋_GB2312"/>
          <w:b/>
          <w:bCs/>
          <w:i w:val="0"/>
          <w:iCs w:val="0"/>
          <w:caps w:val="0"/>
          <w:color w:val="000000"/>
          <w:spacing w:val="0"/>
          <w:sz w:val="32"/>
          <w:szCs w:val="32"/>
          <w:u w:val="none"/>
          <w:shd w:val="clear" w:fill="FFFFFF"/>
          <w:lang w:val="en-US" w:eastAsia="zh-CN"/>
        </w:rPr>
        <w:t>参加面试当天需携带</w:t>
      </w:r>
      <w:r>
        <w:rPr>
          <w:rFonts w:hint="eastAsia" w:ascii="仿宋_GB2312" w:hAnsi="仿宋_GB2312" w:eastAsia="仿宋_GB2312" w:cs="仿宋_GB2312"/>
          <w:b/>
          <w:bCs/>
          <w:i w:val="0"/>
          <w:iCs w:val="0"/>
          <w:caps w:val="0"/>
          <w:color w:val="000000"/>
          <w:spacing w:val="0"/>
          <w:sz w:val="32"/>
          <w:szCs w:val="32"/>
          <w:u w:val="none"/>
          <w:shd w:val="clear" w:fill="FFFFFF"/>
        </w:rPr>
        <w:t>承诺书</w:t>
      </w:r>
      <w:r>
        <w:rPr>
          <w:rFonts w:hint="eastAsia" w:ascii="仿宋_GB2312" w:hAnsi="仿宋_GB2312" w:eastAsia="仿宋_GB2312" w:cs="仿宋_GB2312"/>
          <w:b/>
          <w:bCs/>
          <w:i w:val="0"/>
          <w:iCs w:val="0"/>
          <w:caps w:val="0"/>
          <w:color w:val="000000"/>
          <w:spacing w:val="0"/>
          <w:sz w:val="32"/>
          <w:szCs w:val="32"/>
          <w:u w:val="none"/>
          <w:shd w:val="clear" w:fill="FFFFFF"/>
          <w:lang w:val="en-US" w:eastAsia="zh-CN"/>
        </w:rPr>
        <w:t>纸质版</w:t>
      </w:r>
      <w:r>
        <w:rPr>
          <w:rFonts w:hint="eastAsia" w:ascii="仿宋_GB2312" w:hAnsi="仿宋_GB2312" w:eastAsia="仿宋_GB2312" w:cs="仿宋_GB2312"/>
          <w:b/>
          <w:bCs/>
          <w:i w:val="0"/>
          <w:iCs w:val="0"/>
          <w:caps w:val="0"/>
          <w:color w:val="000000"/>
          <w:spacing w:val="0"/>
          <w:sz w:val="32"/>
          <w:szCs w:val="32"/>
          <w:u w:val="none"/>
          <w:shd w:val="clear" w:fill="FFFFFF"/>
        </w:rPr>
        <w:t>。</w:t>
      </w:r>
    </w:p>
    <w:p>
      <w:pPr>
        <w:suppressAutoHyphens/>
        <w:spacing w:line="400" w:lineRule="exact"/>
        <w:ind w:right="1120" w:firstLine="3520" w:firstLineChars="1100"/>
        <w:rPr>
          <w:rFonts w:hint="eastAsia" w:ascii="仿宋" w:hAnsi="仿宋" w:eastAsia="仿宋"/>
          <w:b w:val="0"/>
          <w:bCs w:val="0"/>
          <w:color w:val="auto"/>
          <w:sz w:val="32"/>
          <w:szCs w:val="32"/>
        </w:rPr>
      </w:pPr>
    </w:p>
    <w:p>
      <w:pPr>
        <w:suppressAutoHyphens/>
        <w:spacing w:line="400" w:lineRule="exact"/>
        <w:ind w:right="1120" w:firstLine="3520" w:firstLineChars="1100"/>
        <w:rPr>
          <w:rFonts w:ascii="仿宋" w:hAnsi="仿宋" w:eastAsia="仿宋"/>
          <w:b w:val="0"/>
          <w:bCs w:val="0"/>
          <w:color w:val="auto"/>
          <w:sz w:val="32"/>
          <w:szCs w:val="32"/>
        </w:rPr>
      </w:pPr>
      <w:r>
        <w:rPr>
          <w:rFonts w:hint="eastAsia" w:ascii="仿宋" w:hAnsi="仿宋" w:eastAsia="仿宋"/>
          <w:b w:val="0"/>
          <w:bCs w:val="0"/>
          <w:color w:val="auto"/>
          <w:sz w:val="32"/>
          <w:szCs w:val="32"/>
        </w:rPr>
        <w:t>承诺人（签名）：</w:t>
      </w:r>
    </w:p>
    <w:p>
      <w:pPr>
        <w:suppressAutoHyphens/>
        <w:spacing w:line="400" w:lineRule="exact"/>
        <w:ind w:firstLine="640" w:firstLineChars="200"/>
        <w:jc w:val="right"/>
        <w:rPr>
          <w:rFonts w:ascii="仿宋" w:hAnsi="仿宋" w:eastAsia="仿宋"/>
          <w:b w:val="0"/>
          <w:bCs w:val="0"/>
          <w:color w:val="auto"/>
          <w:sz w:val="32"/>
          <w:szCs w:val="32"/>
        </w:rPr>
      </w:pPr>
    </w:p>
    <w:p>
      <w:pPr>
        <w:suppressAutoHyphens/>
        <w:spacing w:line="400" w:lineRule="exact"/>
        <w:ind w:right="1120" w:firstLine="4480" w:firstLineChars="1400"/>
        <w:rPr>
          <w:rFonts w:hint="eastAsia" w:ascii="仿宋_GB2312" w:hAnsi="仿宋_GB2312" w:eastAsia="仿宋_GB2312" w:cs="仿宋_GB2312"/>
          <w:b/>
          <w:bCs/>
          <w:i w:val="0"/>
          <w:iCs w:val="0"/>
          <w:caps w:val="0"/>
          <w:color w:val="000000"/>
          <w:spacing w:val="0"/>
          <w:sz w:val="32"/>
          <w:szCs w:val="32"/>
          <w:u w:val="none"/>
          <w:shd w:val="clear" w:fill="FFFFFF"/>
        </w:rPr>
      </w:pPr>
      <w:r>
        <w:rPr>
          <w:rFonts w:hint="eastAsia" w:ascii="仿宋" w:hAnsi="仿宋" w:eastAsia="仿宋"/>
          <w:b w:val="0"/>
          <w:bCs w:val="0"/>
          <w:color w:val="auto"/>
          <w:sz w:val="32"/>
          <w:szCs w:val="32"/>
        </w:rPr>
        <w:t>202</w:t>
      </w:r>
      <w:r>
        <w:rPr>
          <w:rFonts w:hint="eastAsia" w:ascii="仿宋" w:hAnsi="仿宋" w:eastAsia="仿宋"/>
          <w:b w:val="0"/>
          <w:bCs w:val="0"/>
          <w:color w:val="auto"/>
          <w:sz w:val="32"/>
          <w:szCs w:val="32"/>
          <w:lang w:val="en-US" w:eastAsia="zh-CN"/>
        </w:rPr>
        <w:t>2</w:t>
      </w:r>
      <w:r>
        <w:rPr>
          <w:rFonts w:hint="eastAsia" w:ascii="仿宋" w:hAnsi="仿宋" w:eastAsia="仿宋"/>
          <w:b w:val="0"/>
          <w:bCs w:val="0"/>
          <w:color w:val="auto"/>
          <w:sz w:val="32"/>
          <w:szCs w:val="32"/>
        </w:rPr>
        <w:t>年</w:t>
      </w:r>
      <w:r>
        <w:rPr>
          <w:rFonts w:hint="eastAsia" w:ascii="仿宋" w:hAnsi="仿宋" w:eastAsia="仿宋"/>
          <w:b w:val="0"/>
          <w:bCs w:val="0"/>
          <w:color w:val="auto"/>
          <w:sz w:val="32"/>
          <w:szCs w:val="32"/>
          <w:lang w:val="en-US" w:eastAsia="zh-CN"/>
        </w:rPr>
        <w:t>7</w:t>
      </w:r>
      <w:r>
        <w:rPr>
          <w:rFonts w:hint="eastAsia" w:ascii="仿宋" w:hAnsi="仿宋" w:eastAsia="仿宋"/>
          <w:b w:val="0"/>
          <w:bCs w:val="0"/>
          <w:color w:val="auto"/>
          <w:sz w:val="32"/>
          <w:szCs w:val="32"/>
        </w:rPr>
        <w:t>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预祝广大考生考试顺利！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right"/>
        <w:textAlignment w:val="auto"/>
        <w:rPr>
          <w:rFonts w:hint="eastAsia" w:ascii="仿宋_GB2312" w:hAnsi="仿宋_GB2312" w:eastAsia="仿宋_GB2312" w:cs="仿宋_GB2312"/>
          <w:i w:val="0"/>
          <w:iCs w:val="0"/>
          <w:caps w:val="0"/>
          <w:color w:val="333333"/>
          <w:spacing w:val="0"/>
          <w:sz w:val="32"/>
          <w:szCs w:val="32"/>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right"/>
        <w:textAlignment w:val="auto"/>
        <w:rPr>
          <w:rFonts w:hint="eastAsia" w:ascii="仿宋" w:hAnsi="仿宋" w:eastAsia="仿宋"/>
          <w:b w:val="0"/>
          <w:bCs w:val="0"/>
          <w:color w:val="auto"/>
          <w:sz w:val="32"/>
          <w:szCs w:val="32"/>
        </w:rPr>
      </w:pPr>
      <w:r>
        <w:rPr>
          <w:rFonts w:hint="eastAsia" w:ascii="仿宋_GB2312" w:hAnsi="仿宋_GB2312" w:eastAsia="仿宋_GB2312" w:cs="仿宋_GB2312"/>
          <w:i w:val="0"/>
          <w:iCs w:val="0"/>
          <w:caps w:val="0"/>
          <w:color w:val="333333"/>
          <w:spacing w:val="0"/>
          <w:sz w:val="32"/>
          <w:szCs w:val="32"/>
          <w:u w:val="none"/>
          <w:shd w:val="clear" w:fill="FFFFFF"/>
        </w:rPr>
        <w:t> </w:t>
      </w:r>
      <w:r>
        <w:rPr>
          <w:rFonts w:hint="eastAsia" w:ascii="仿宋" w:hAnsi="仿宋" w:eastAsia="仿宋"/>
          <w:b w:val="0"/>
          <w:bCs w:val="0"/>
          <w:color w:val="auto"/>
          <w:sz w:val="32"/>
          <w:szCs w:val="32"/>
          <w:lang w:val="en-US" w:eastAsia="zh-CN"/>
        </w:rPr>
        <w:t>远创人力资源管理集团有限公司</w:t>
      </w:r>
      <w:r>
        <w:rPr>
          <w:rFonts w:hint="eastAsia" w:ascii="仿宋" w:hAnsi="仿宋" w:eastAsia="仿宋"/>
          <w:b w:val="0"/>
          <w:bCs w:val="0"/>
          <w:color w:val="auto"/>
          <w:sz w:val="32"/>
          <w:szCs w:val="32"/>
        </w:rPr>
        <w:t>         </w:t>
      </w:r>
    </w:p>
    <w:p>
      <w:pPr>
        <w:suppressAutoHyphens/>
        <w:spacing w:line="400" w:lineRule="exact"/>
        <w:ind w:right="1120" w:firstLine="3520" w:firstLineChars="1100"/>
        <w:jc w:val="right"/>
        <w:rPr>
          <w:rFonts w:hint="eastAsia" w:ascii="仿宋" w:hAnsi="仿宋" w:eastAsia="仿宋"/>
          <w:b w:val="0"/>
          <w:bCs w:val="0"/>
          <w:color w:val="auto"/>
          <w:sz w:val="32"/>
          <w:szCs w:val="32"/>
        </w:rPr>
      </w:pPr>
      <w:r>
        <w:rPr>
          <w:rFonts w:hint="eastAsia" w:ascii="仿宋" w:hAnsi="仿宋" w:eastAsia="仿宋"/>
          <w:b w:val="0"/>
          <w:bCs w:val="0"/>
          <w:color w:val="auto"/>
          <w:sz w:val="32"/>
          <w:szCs w:val="32"/>
          <w:lang w:val="en-US" w:eastAsia="zh-CN"/>
        </w:rPr>
        <w:t xml:space="preserve">  </w:t>
      </w:r>
      <w:r>
        <w:rPr>
          <w:rFonts w:hint="eastAsia" w:ascii="仿宋" w:hAnsi="仿宋" w:eastAsia="仿宋"/>
          <w:b w:val="0"/>
          <w:bCs w:val="0"/>
          <w:color w:val="auto"/>
          <w:sz w:val="32"/>
          <w:szCs w:val="32"/>
        </w:rPr>
        <w:t>2022年7月</w:t>
      </w:r>
      <w:r>
        <w:rPr>
          <w:rFonts w:hint="eastAsia" w:ascii="仿宋" w:hAnsi="仿宋" w:eastAsia="仿宋"/>
          <w:b w:val="0"/>
          <w:bCs w:val="0"/>
          <w:color w:val="auto"/>
          <w:sz w:val="32"/>
          <w:szCs w:val="32"/>
          <w:lang w:val="en-US" w:eastAsia="zh-CN"/>
        </w:rPr>
        <w:t>5</w:t>
      </w:r>
      <w:r>
        <w:rPr>
          <w:rFonts w:hint="eastAsia" w:ascii="仿宋" w:hAnsi="仿宋" w:eastAsia="仿宋"/>
          <w:b w:val="0"/>
          <w:bCs w:val="0"/>
          <w:color w:val="auto"/>
          <w:sz w:val="32"/>
          <w:szCs w:val="32"/>
        </w:rPr>
        <w:t>日 </w:t>
      </w:r>
      <w:bookmarkStart w:id="0" w:name="_GoBack"/>
      <w:bookmarkEnd w:id="0"/>
    </w:p>
    <w:sectPr>
      <w:pgSz w:w="11906" w:h="16838"/>
      <w:pgMar w:top="1100" w:right="1800" w:bottom="1213"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jhiNGZkZGFkMDEzYjk1MWJjMzViMDU0ZDM1YjMifQ=="/>
  </w:docVars>
  <w:rsids>
    <w:rsidRoot w:val="799D699B"/>
    <w:rsid w:val="27A2183D"/>
    <w:rsid w:val="373C5B22"/>
    <w:rsid w:val="799D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1594</Characters>
  <Lines>0</Lines>
  <Paragraphs>0</Paragraphs>
  <TotalTime>4</TotalTime>
  <ScaleCrop>false</ScaleCrop>
  <LinksUpToDate>false</LinksUpToDate>
  <CharactersWithSpaces>1595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2022-07-05T08:07:00Z</dcterms:created>
  <dc:creator>Administrator</dc:creator>
  <cp:lastModifiedBy>Administrator</cp:lastModifiedBy>
  <dcterms:modified xsi:type="dcterms:W3CDTF">2022-07-05T11:11:59Z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82296FEB1B5E481D8A0118BBF77F61A1</vt:lpwstr>
  </property>
</Properties>
</file>