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0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长丰县双凤经济开发区2022年招聘城市管理执法辅助人员体能测试通知书</w:t>
      </w:r>
    </w:p>
    <w:p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sectPr>
          <w:type w:val="continuous"/>
          <w:pgSz w:w="11906" w:h="16838"/>
          <w:pgMar w:top="567" w:right="1701" w:bottom="567" w:left="1701" w:header="851" w:footer="283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71" w:tblpY="2793"/>
        <w:tblOverlap w:val="never"/>
        <w:tblW w:w="910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45"/>
        <w:gridCol w:w="1389"/>
        <w:gridCol w:w="871"/>
        <w:gridCol w:w="1200"/>
        <w:gridCol w:w="2223"/>
        <w:gridCol w:w="207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7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5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照             片             粘             贴              处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考点名称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lang w:val="en-US" w:eastAsia="zh-CN"/>
              </w:rPr>
              <w:t>长丰县金峰路小学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考点地址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金峰路与凤庆路交口东北角</w:t>
            </w:r>
          </w:p>
        </w:tc>
        <w:tc>
          <w:tcPr>
            <w:tcW w:w="2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atLeast"/>
        </w:trPr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报考岗位</w:t>
            </w:r>
          </w:p>
        </w:tc>
        <w:tc>
          <w:tcPr>
            <w:tcW w:w="4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1" w:hRule="atLeast"/>
        </w:trPr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6" w:hRule="atLeast"/>
        </w:trPr>
        <w:tc>
          <w:tcPr>
            <w:tcW w:w="91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考试安排：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日（周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7:10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之前到达考点，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7：30后禁止进入考点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91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1" w:hRule="atLeast"/>
        </w:trPr>
        <w:tc>
          <w:tcPr>
            <w:tcW w:w="9100" w:type="dxa"/>
            <w:gridSpan w:val="6"/>
          </w:tcPr>
          <w:p>
            <w:pPr>
              <w:spacing w:line="240" w:lineRule="auto"/>
              <w:ind w:left="34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考生注意事项</w:t>
            </w:r>
          </w:p>
          <w:p>
            <w:pPr>
              <w:spacing w:line="240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*********特别提示：考生于考场内请勿携带贵重物品，否则丢失自负。*********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考生须携带本人有效居民身份证（原件）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体能测试通知书和体能测试安全承诺书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，按指定的时间到指定的地点报到并按要求参加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。迟到以及缺席者，视为自动弃权。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参加体能测试的考生提前下载皖事通或支付宝APP并注册“安康码”信息，并出示“安康码”绿码，考生全程佩戴口罩，测量体温（低于37.3°C），如体温高于37.3°C，须现场接受二次复测，如体温仍超标准，须由现场医护人员使用水银体温计进行腋下测温。确属发热的考生须如实报告近14天的旅居史、接触史及健康状况，并作出书面承诺后，放弃本场考试，并由医护人员送至定点医院进行核酸检测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体能测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前，考生通过抽签确定参加体能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的顺序，由工作人员引导到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地点。进行体能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过程中，考生不得透露姓名等个人信息。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期间，考生须接受工作人员集中封闭管理。禁止携带各种无线通信工具等与考试无关的物品。如有携带，必须主动交工作人员集中保管（手机需关闭），否则一经发现，作违纪处理。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结束，考生可凭本人身份证到学校传达室领回通讯工具。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前注意事项</w:t>
            </w:r>
          </w:p>
          <w:p>
            <w:pPr>
              <w:ind w:left="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前考生应注意饮食、运动等，使身体保持正常状态。</w:t>
            </w:r>
          </w:p>
          <w:p>
            <w:pPr>
              <w:ind w:left="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场地不设更衣室，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当天，考生应穿着便于运动的服装、鞋等，以免影响正常水平发挥。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违纪处理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逾期未到者，视为自动放弃体能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资格。考生违纪，视情节轻重给予警告直至宣布取消其体能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资格或体能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成绩无效。凡在考场内严重扰乱体能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秩序，辱骂工作人员，威胁他人安全者，按照有关规定严肃处理。</w:t>
            </w:r>
          </w:p>
          <w:p>
            <w:pPr>
              <w:ind w:left="34"/>
              <w:jc w:val="center"/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</w:p>
    <w:bookmarkEnd w:id="0"/>
    <w:sectPr>
      <w:type w:val="continuous"/>
      <w:pgSz w:w="11906" w:h="16838"/>
      <w:pgMar w:top="646" w:right="1633" w:bottom="816" w:left="1689" w:header="851" w:footer="283" w:gutter="0"/>
      <w:pgNumType w:fmt="numberInDash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F315D"/>
    <w:multiLevelType w:val="singleLevel"/>
    <w:tmpl w:val="407F31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ODA2N2Q2ZTg1ZDNkMGU0YmQ3YzZkYjAyY2ZlNzIifQ=="/>
  </w:docVars>
  <w:rsids>
    <w:rsidRoot w:val="69F97E6D"/>
    <w:rsid w:val="000E2D30"/>
    <w:rsid w:val="00105FE6"/>
    <w:rsid w:val="001A60BB"/>
    <w:rsid w:val="001C040E"/>
    <w:rsid w:val="00266FAE"/>
    <w:rsid w:val="002870E0"/>
    <w:rsid w:val="002D143E"/>
    <w:rsid w:val="003F77CC"/>
    <w:rsid w:val="004B4274"/>
    <w:rsid w:val="004E65EF"/>
    <w:rsid w:val="005563FA"/>
    <w:rsid w:val="0056115C"/>
    <w:rsid w:val="00681B28"/>
    <w:rsid w:val="006A43B0"/>
    <w:rsid w:val="0070023B"/>
    <w:rsid w:val="00840458"/>
    <w:rsid w:val="00871A62"/>
    <w:rsid w:val="008A5166"/>
    <w:rsid w:val="008D546F"/>
    <w:rsid w:val="008D6A13"/>
    <w:rsid w:val="00AF304B"/>
    <w:rsid w:val="00C10FB7"/>
    <w:rsid w:val="00C17E14"/>
    <w:rsid w:val="00D73077"/>
    <w:rsid w:val="00D936A4"/>
    <w:rsid w:val="00DC1553"/>
    <w:rsid w:val="00FC5D83"/>
    <w:rsid w:val="02877111"/>
    <w:rsid w:val="02D256BE"/>
    <w:rsid w:val="043C4F1C"/>
    <w:rsid w:val="062C46B8"/>
    <w:rsid w:val="06784CD9"/>
    <w:rsid w:val="08A156C2"/>
    <w:rsid w:val="0AA00186"/>
    <w:rsid w:val="0B055718"/>
    <w:rsid w:val="0CCB2149"/>
    <w:rsid w:val="0ECB4007"/>
    <w:rsid w:val="0FEA458C"/>
    <w:rsid w:val="11792117"/>
    <w:rsid w:val="12D30E97"/>
    <w:rsid w:val="147B0999"/>
    <w:rsid w:val="17040E6F"/>
    <w:rsid w:val="17A70B02"/>
    <w:rsid w:val="18123CD7"/>
    <w:rsid w:val="1B363DCF"/>
    <w:rsid w:val="1BB20D28"/>
    <w:rsid w:val="1C2B2B88"/>
    <w:rsid w:val="1D854F1F"/>
    <w:rsid w:val="20DD7B87"/>
    <w:rsid w:val="210D6575"/>
    <w:rsid w:val="22A10320"/>
    <w:rsid w:val="236346F4"/>
    <w:rsid w:val="258827E9"/>
    <w:rsid w:val="29491AF1"/>
    <w:rsid w:val="2A0B6ABC"/>
    <w:rsid w:val="2A0C4327"/>
    <w:rsid w:val="2B1854EA"/>
    <w:rsid w:val="2B7C2065"/>
    <w:rsid w:val="2C781541"/>
    <w:rsid w:val="2DE02963"/>
    <w:rsid w:val="311B662B"/>
    <w:rsid w:val="32626283"/>
    <w:rsid w:val="376F3F49"/>
    <w:rsid w:val="38813634"/>
    <w:rsid w:val="3B6967CE"/>
    <w:rsid w:val="3DDA27BE"/>
    <w:rsid w:val="3F8A5AD0"/>
    <w:rsid w:val="3FAB4156"/>
    <w:rsid w:val="44826B31"/>
    <w:rsid w:val="458202D3"/>
    <w:rsid w:val="46DC2537"/>
    <w:rsid w:val="46E36814"/>
    <w:rsid w:val="480E290B"/>
    <w:rsid w:val="4837729B"/>
    <w:rsid w:val="48632345"/>
    <w:rsid w:val="4875480E"/>
    <w:rsid w:val="490E08CB"/>
    <w:rsid w:val="4C735479"/>
    <w:rsid w:val="4D066F58"/>
    <w:rsid w:val="4DBB4954"/>
    <w:rsid w:val="507A5F4F"/>
    <w:rsid w:val="5494507E"/>
    <w:rsid w:val="54B55374"/>
    <w:rsid w:val="56AD5AD3"/>
    <w:rsid w:val="578D2001"/>
    <w:rsid w:val="58083E8E"/>
    <w:rsid w:val="584A23AC"/>
    <w:rsid w:val="598F7A92"/>
    <w:rsid w:val="5AB476E8"/>
    <w:rsid w:val="5C6158EB"/>
    <w:rsid w:val="5C6C5960"/>
    <w:rsid w:val="5C844AF4"/>
    <w:rsid w:val="5D210C69"/>
    <w:rsid w:val="5FE370CA"/>
    <w:rsid w:val="60115301"/>
    <w:rsid w:val="624D3844"/>
    <w:rsid w:val="62937E4F"/>
    <w:rsid w:val="62F71DE4"/>
    <w:rsid w:val="63FE1B68"/>
    <w:rsid w:val="67892DC5"/>
    <w:rsid w:val="69F97E6D"/>
    <w:rsid w:val="6DA560EA"/>
    <w:rsid w:val="6F6974FB"/>
    <w:rsid w:val="711865F6"/>
    <w:rsid w:val="71EC30D1"/>
    <w:rsid w:val="726469FD"/>
    <w:rsid w:val="72C02C0C"/>
    <w:rsid w:val="73A41FAA"/>
    <w:rsid w:val="73B9746E"/>
    <w:rsid w:val="74033F78"/>
    <w:rsid w:val="74345DC0"/>
    <w:rsid w:val="75B87613"/>
    <w:rsid w:val="77C570F6"/>
    <w:rsid w:val="79E7295B"/>
    <w:rsid w:val="7AA66EB5"/>
    <w:rsid w:val="7AFB30A7"/>
    <w:rsid w:val="7B5F44F7"/>
    <w:rsid w:val="7BEC4C49"/>
    <w:rsid w:val="7E3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666666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786</Characters>
  <Lines>55</Lines>
  <Paragraphs>15</Paragraphs>
  <TotalTime>20</TotalTime>
  <ScaleCrop>false</ScaleCrop>
  <LinksUpToDate>false</LinksUpToDate>
  <CharactersWithSpaces>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2018-08-16T13:46:00Z</dcterms:created>
  <dc:creator>1320494767</dc:creator>
  <cp:lastModifiedBy>Administrator</cp:lastModifiedBy>
  <cp:lastPrinted>2019-05-14T09:06:00Z</cp:lastPrinted>
  <dcterms:modified xsi:type="dcterms:W3CDTF">2022-06-20T07:14:28Z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CF01FABEB62A4862B0AA503E8BC94410</vt:lpwstr>
  </property>
</Properties>
</file>